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ascii="黑体" w:hAnsi="黑体" w:eastAsia="黑体" w:cs="黑体"/>
          <w:b/>
          <w:bCs/>
          <w:sz w:val="48"/>
          <w:szCs w:val="48"/>
        </w:rPr>
        <w:t>CRA/CRC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工作交接报告</w:t>
      </w:r>
    </w:p>
    <w:p>
      <w:pPr>
        <w:spacing w:line="460" w:lineRule="exact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各项目</w:t>
      </w:r>
      <w:r>
        <w:rPr>
          <w:rFonts w:ascii="黑体" w:hAnsi="黑体" w:eastAsia="黑体" w:cs="黑体"/>
          <w:sz w:val="28"/>
          <w:szCs w:val="28"/>
        </w:rPr>
        <w:t>CRA/CRC</w:t>
      </w:r>
      <w:r>
        <w:rPr>
          <w:rFonts w:hint="eastAsia" w:ascii="黑体" w:hAnsi="黑体" w:eastAsia="黑体" w:cs="黑体"/>
          <w:sz w:val="28"/>
          <w:szCs w:val="28"/>
        </w:rPr>
        <w:t>更换交接时至少按照以下几点要求完成交接工作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须把交接具体内容补充完整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</w:rPr>
        <w:t>。具体信息请补充完整后交至机构办公室备案。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项目名称：</w:t>
            </w:r>
          </w:p>
        </w:tc>
        <w:tc>
          <w:tcPr>
            <w:tcW w:w="6392" w:type="dxa"/>
            <w:gridSpan w:val="3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承担专业</w:t>
            </w:r>
          </w:p>
        </w:tc>
        <w:tc>
          <w:tcPr>
            <w:tcW w:w="213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PI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交接人姓名</w:t>
            </w:r>
          </w:p>
        </w:tc>
        <w:tc>
          <w:tcPr>
            <w:tcW w:w="213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任职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CRA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CRC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被交接人姓名</w:t>
            </w:r>
          </w:p>
        </w:tc>
        <w:tc>
          <w:tcPr>
            <w:tcW w:w="2130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任职</w:t>
            </w:r>
          </w:p>
        </w:tc>
        <w:tc>
          <w:tcPr>
            <w:tcW w:w="2131" w:type="dxa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CRA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/>
                <w:bCs/>
                <w:sz w:val="28"/>
                <w:szCs w:val="28"/>
              </w:rPr>
              <w:t>CRC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任职单位是否有变更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60" w:lineRule="exact"/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是（变更后单位名称）：</w:t>
            </w:r>
          </w:p>
        </w:tc>
      </w:tr>
    </w:tbl>
    <w:p>
      <w:pPr>
        <w:spacing w:line="460" w:lineRule="exact"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460" w:lineRule="exact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项目基本情况交接：</w:t>
      </w:r>
    </w:p>
    <w:p>
      <w:pPr>
        <w:numPr>
          <w:ilvl w:val="0"/>
          <w:numId w:val="2"/>
        </w:numPr>
        <w:spacing w:line="46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项目进展情况简述：目前入选具体情况</w:t>
      </w:r>
      <w:r>
        <w:rPr>
          <w:rFonts w:ascii="楷体_GB2312" w:hAnsi="楷体_GB2312" w:eastAsia="楷体_GB2312" w:cs="楷体_GB2312"/>
          <w:sz w:val="28"/>
          <w:szCs w:val="28"/>
        </w:rPr>
        <w:t>——</w:t>
      </w:r>
      <w:r>
        <w:rPr>
          <w:rFonts w:hint="eastAsia" w:ascii="楷体_GB2312" w:hAnsi="楷体_GB2312" w:eastAsia="楷体_GB2312" w:cs="楷体_GB2312"/>
          <w:sz w:val="28"/>
          <w:szCs w:val="28"/>
        </w:rPr>
        <w:t>筛选</w:t>
      </w:r>
      <w:r>
        <w:rPr>
          <w:rFonts w:ascii="楷体_GB2312" w:hAnsi="楷体_GB2312" w:eastAsia="楷体_GB2312" w:cs="楷体_GB2312"/>
          <w:sz w:val="28"/>
          <w:szCs w:val="28"/>
        </w:rPr>
        <w:t>/</w:t>
      </w:r>
      <w:r>
        <w:rPr>
          <w:rFonts w:hint="eastAsia" w:ascii="楷体_GB2312" w:hAnsi="楷体_GB2312" w:eastAsia="楷体_GB2312" w:cs="楷体_GB2312"/>
          <w:sz w:val="28"/>
          <w:szCs w:val="28"/>
        </w:rPr>
        <w:t>入组</w:t>
      </w:r>
      <w:r>
        <w:rPr>
          <w:rFonts w:ascii="楷体_GB2312" w:hAnsi="楷体_GB2312" w:eastAsia="楷体_GB2312" w:cs="楷体_GB2312"/>
          <w:sz w:val="28"/>
          <w:szCs w:val="28"/>
        </w:rPr>
        <w:t>/</w:t>
      </w:r>
      <w:r>
        <w:rPr>
          <w:rFonts w:hint="eastAsia" w:ascii="楷体_GB2312" w:hAnsi="楷体_GB2312" w:eastAsia="楷体_GB2312" w:cs="楷体_GB2312"/>
          <w:sz w:val="28"/>
          <w:szCs w:val="28"/>
        </w:rPr>
        <w:t>完成</w:t>
      </w:r>
      <w:r>
        <w:rPr>
          <w:rFonts w:ascii="楷体_GB2312" w:hAnsi="楷体_GB2312" w:eastAsia="楷体_GB2312" w:cs="楷体_GB2312"/>
          <w:sz w:val="28"/>
          <w:szCs w:val="28"/>
        </w:rPr>
        <w:t>/</w:t>
      </w:r>
      <w:r>
        <w:rPr>
          <w:rFonts w:hint="eastAsia" w:ascii="楷体_GB2312" w:hAnsi="楷体_GB2312" w:eastAsia="楷体_GB2312" w:cs="楷体_GB2312"/>
          <w:sz w:val="28"/>
          <w:szCs w:val="28"/>
        </w:rPr>
        <w:t>脱落人数（如筛选失败及提前中止交接者应明确了解相关情况）；</w:t>
      </w:r>
    </w:p>
    <w:p>
      <w:pPr>
        <w:pStyle w:val="10"/>
        <w:spacing w:line="460" w:lineRule="exact"/>
        <w:ind w:firstLine="0" w:firstLineChars="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ascii="楷体_GB2312" w:hAnsi="楷体_GB2312" w:eastAsia="楷体_GB2312" w:cs="楷体_GB2312"/>
          <w:sz w:val="28"/>
          <w:szCs w:val="28"/>
        </w:rPr>
        <w:t>2.</w:t>
      </w:r>
      <w:r>
        <w:rPr>
          <w:rFonts w:hint="eastAsia" w:ascii="楷体_GB2312" w:hAnsi="楷体_GB2312" w:eastAsia="楷体_GB2312" w:cs="楷体_GB2312"/>
          <w:sz w:val="28"/>
          <w:szCs w:val="28"/>
        </w:rPr>
        <w:t>受试者访视进展情况，病历、</w:t>
      </w:r>
      <w:r>
        <w:rPr>
          <w:rFonts w:ascii="楷体_GB2312" w:hAnsi="楷体_GB2312" w:eastAsia="楷体_GB2312" w:cs="楷体_GB2312"/>
          <w:sz w:val="28"/>
          <w:szCs w:val="28"/>
        </w:rPr>
        <w:t>CRF</w:t>
      </w:r>
      <w:r>
        <w:rPr>
          <w:rFonts w:hint="eastAsia" w:ascii="楷体_GB2312" w:hAnsi="楷体_GB2312" w:eastAsia="楷体_GB2312" w:cs="楷体_GB2312"/>
          <w:sz w:val="28"/>
          <w:szCs w:val="28"/>
        </w:rPr>
        <w:t>填写交接情况（交接者应明确了解随访进展状况）；</w:t>
      </w:r>
    </w:p>
    <w:p>
      <w:pPr>
        <w:pStyle w:val="10"/>
        <w:spacing w:line="460" w:lineRule="exact"/>
        <w:ind w:firstLine="0" w:firstLineChars="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ascii="楷体_GB2312" w:hAnsi="楷体_GB2312" w:eastAsia="楷体_GB2312" w:cs="楷体_GB2312"/>
          <w:sz w:val="28"/>
          <w:szCs w:val="28"/>
        </w:rPr>
        <w:t>3.</w:t>
      </w:r>
      <w:r>
        <w:rPr>
          <w:rFonts w:hint="eastAsia" w:ascii="楷体_GB2312" w:hAnsi="楷体_GB2312" w:eastAsia="楷体_GB2312" w:cs="楷体_GB2312"/>
          <w:sz w:val="28"/>
          <w:szCs w:val="28"/>
        </w:rPr>
        <w:t>本中心研究人员、授权及变更情况</w:t>
      </w:r>
      <w:r>
        <w:rPr>
          <w:rFonts w:ascii="楷体_GB2312" w:hAnsi="楷体_GB2312" w:eastAsia="楷体_GB2312" w:cs="楷体_GB2312"/>
          <w:sz w:val="28"/>
          <w:szCs w:val="28"/>
        </w:rPr>
        <w:t>——</w:t>
      </w:r>
      <w:r>
        <w:rPr>
          <w:rFonts w:hint="eastAsia" w:ascii="楷体_GB2312" w:hAnsi="楷体_GB2312" w:eastAsia="楷体_GB2312" w:cs="楷体_GB2312"/>
          <w:sz w:val="28"/>
          <w:szCs w:val="28"/>
        </w:rPr>
        <w:t>科室，机构，伦理，药物管理员，</w:t>
      </w:r>
      <w:r>
        <w:rPr>
          <w:rFonts w:ascii="楷体_GB2312" w:hAnsi="楷体_GB2312" w:eastAsia="楷体_GB2312" w:cs="楷体_GB2312"/>
          <w:sz w:val="28"/>
          <w:szCs w:val="28"/>
        </w:rPr>
        <w:t>CRC</w:t>
      </w:r>
      <w:r>
        <w:rPr>
          <w:rFonts w:hint="eastAsia" w:ascii="楷体_GB2312" w:hAnsi="楷体_GB2312" w:eastAsia="楷体_GB2312" w:cs="楷体_GB2312"/>
          <w:sz w:val="28"/>
          <w:szCs w:val="28"/>
        </w:rPr>
        <w:t>等（可附表联系方式说明已交接）；</w:t>
      </w:r>
    </w:p>
    <w:p>
      <w:pPr>
        <w:pStyle w:val="10"/>
        <w:spacing w:line="460" w:lineRule="exact"/>
        <w:ind w:firstLine="0" w:firstLineChars="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ascii="楷体_GB2312" w:hAnsi="楷体_GB2312" w:eastAsia="楷体_GB2312" w:cs="楷体_GB2312"/>
          <w:sz w:val="28"/>
          <w:szCs w:val="28"/>
        </w:rPr>
        <w:t>4.SAE</w:t>
      </w:r>
      <w:r>
        <w:rPr>
          <w:rFonts w:hint="eastAsia" w:ascii="楷体_GB2312" w:hAnsi="楷体_GB2312" w:eastAsia="楷体_GB2312" w:cs="楷体_GB2312"/>
          <w:sz w:val="28"/>
          <w:szCs w:val="28"/>
        </w:rPr>
        <w:t>及</w:t>
      </w:r>
      <w:r>
        <w:rPr>
          <w:rFonts w:ascii="楷体_GB2312" w:hAnsi="楷体_GB2312" w:eastAsia="楷体_GB2312" w:cs="楷体_GB2312"/>
          <w:sz w:val="28"/>
          <w:szCs w:val="28"/>
        </w:rPr>
        <w:t>AE</w:t>
      </w:r>
      <w:r>
        <w:rPr>
          <w:rFonts w:hint="eastAsia" w:ascii="楷体_GB2312" w:hAnsi="楷体_GB2312" w:eastAsia="楷体_GB2312" w:cs="楷体_GB2312"/>
          <w:sz w:val="28"/>
          <w:szCs w:val="28"/>
        </w:rPr>
        <w:t>情况（尚在跟踪的必须详细交接）；</w:t>
      </w:r>
    </w:p>
    <w:p>
      <w:pPr>
        <w:pStyle w:val="10"/>
        <w:spacing w:line="460" w:lineRule="exact"/>
        <w:ind w:firstLine="0" w:firstLineChars="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ascii="楷体_GB2312" w:hAnsi="楷体_GB2312" w:eastAsia="楷体_GB2312" w:cs="楷体_GB2312"/>
          <w:sz w:val="28"/>
          <w:szCs w:val="28"/>
        </w:rPr>
        <w:t>5.</w:t>
      </w:r>
      <w:r>
        <w:rPr>
          <w:rFonts w:hint="eastAsia" w:ascii="楷体_GB2312" w:hAnsi="楷体_GB2312" w:eastAsia="楷体_GB2312" w:cs="楷体_GB2312"/>
          <w:sz w:val="28"/>
          <w:szCs w:val="28"/>
        </w:rPr>
        <w:t>所有伦理审查批复时间及结论情况交接（含上会、快审及备案）；</w:t>
      </w:r>
    </w:p>
    <w:p>
      <w:pPr>
        <w:spacing w:line="4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ascii="楷体_GB2312" w:hAnsi="楷体_GB2312" w:eastAsia="楷体_GB2312" w:cs="楷体_GB2312"/>
          <w:sz w:val="28"/>
          <w:szCs w:val="28"/>
        </w:rPr>
        <w:t>6.</w:t>
      </w:r>
      <w:r>
        <w:rPr>
          <w:rFonts w:hint="eastAsia" w:ascii="楷体_GB2312" w:hAnsi="楷体_GB2312" w:eastAsia="楷体_GB2312" w:cs="楷体_GB2312"/>
          <w:sz w:val="28"/>
          <w:szCs w:val="28"/>
        </w:rPr>
        <w:t>重要的方案违背及上报伦理情况（机构首例检查反馈及整改情况必须交接）；</w:t>
      </w:r>
    </w:p>
    <w:p>
      <w:pPr>
        <w:spacing w:line="460" w:lineRule="exact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7.项目检查费使用情况核对（请列表）：入组病例（每个入组病例单列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）实际产生的检查费、项目内结单使用情况、是否有套用医保结算的情况等</w:t>
      </w:r>
    </w:p>
    <w:p>
      <w:pPr>
        <w:pStyle w:val="10"/>
        <w:spacing w:line="460" w:lineRule="exact"/>
        <w:ind w:firstLine="0" w:firstLineChars="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项目资料交接（资料存放地点，研究者文件夹资料核对，病历、</w:t>
      </w:r>
      <w:r>
        <w:rPr>
          <w:rFonts w:ascii="楷体_GB2312" w:hAnsi="楷体_GB2312" w:eastAsia="楷体_GB2312" w:cs="楷体_GB2312"/>
          <w:b/>
          <w:bCs/>
          <w:sz w:val="28"/>
          <w:szCs w:val="28"/>
        </w:rPr>
        <w:t>CRF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、</w:t>
      </w:r>
      <w:r>
        <w:rPr>
          <w:rFonts w:ascii="楷体_GB2312" w:hAnsi="楷体_GB2312" w:eastAsia="楷体_GB2312" w:cs="楷体_GB2312"/>
          <w:b/>
          <w:bCs/>
          <w:sz w:val="28"/>
          <w:szCs w:val="28"/>
        </w:rPr>
        <w:t>ICF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填写核对等）；</w:t>
      </w:r>
    </w:p>
    <w:p>
      <w:pPr>
        <w:pStyle w:val="10"/>
        <w:spacing w:line="460" w:lineRule="exact"/>
        <w:ind w:firstLine="0" w:firstLineChars="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三、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物资交接（药品，相关物资存放地点，药品温度记录要求，药品数量清点等）；</w:t>
      </w:r>
    </w:p>
    <w:p>
      <w:pPr>
        <w:spacing w:line="460" w:lineRule="exact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四、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相关资质在机构</w:t>
      </w:r>
      <w:r>
        <w:rPr>
          <w:rFonts w:ascii="楷体_GB2312" w:hAnsi="楷体_GB2312" w:eastAsia="楷体_GB2312" w:cs="楷体_GB2312"/>
          <w:b/>
          <w:bCs/>
          <w:sz w:val="28"/>
          <w:szCs w:val="28"/>
        </w:rPr>
        <w:t>/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伦理备案：个人履历，</w:t>
      </w:r>
      <w:r>
        <w:rPr>
          <w:rFonts w:ascii="楷体_GB2312" w:hAnsi="楷体_GB2312" w:eastAsia="楷体_GB2312" w:cs="楷体_GB2312"/>
          <w:b/>
          <w:bCs/>
          <w:sz w:val="28"/>
          <w:szCs w:val="28"/>
        </w:rPr>
        <w:t>GCP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证书，授权表，交接记录；</w:t>
      </w:r>
    </w:p>
    <w:p>
      <w:pPr>
        <w:spacing w:line="46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五、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交接中遇到问题；</w:t>
      </w:r>
    </w:p>
    <w:p>
      <w:pPr>
        <w:spacing w:line="46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六、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机构及伦理对项目开展的要求；</w:t>
      </w:r>
    </w:p>
    <w:p>
      <w:pPr>
        <w:spacing w:line="46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交接人签名</w:t>
      </w:r>
      <w:r>
        <w:rPr>
          <w:rFonts w:ascii="黑体" w:hAnsi="黑体" w:eastAsia="黑体" w:cs="黑体"/>
          <w:b/>
          <w:bCs/>
          <w:sz w:val="28"/>
          <w:szCs w:val="28"/>
        </w:rPr>
        <w:t>/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日期：</w:t>
      </w:r>
    </w:p>
    <w:sectPr>
      <w:headerReference r:id="rId3" w:type="default"/>
      <w:footerReference r:id="rId4" w:type="default"/>
      <w:pgSz w:w="11906" w:h="16838"/>
      <w:pgMar w:top="1440" w:right="1800" w:bottom="948" w:left="1800" w:header="8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0" w:firstLineChars="100"/>
      <w:rPr>
        <w:sz w:val="18"/>
        <w:u w:val="single"/>
      </w:rPr>
    </w:pPr>
    <w:r>
      <w:rPr>
        <w:rFonts w:hint="eastAsia"/>
        <w:sz w:val="18"/>
      </w:rPr>
      <w:t>地址：湖南省长沙市解放西路</w:t>
    </w:r>
    <w:r>
      <w:rPr>
        <w:sz w:val="18"/>
      </w:rPr>
      <w:t>61</w:t>
    </w:r>
    <w:r>
      <w:rPr>
        <w:rFonts w:hint="eastAsia"/>
        <w:sz w:val="18"/>
      </w:rPr>
      <w:t>号</w:t>
    </w:r>
    <w:r>
      <w:rPr>
        <w:sz w:val="18"/>
      </w:rPr>
      <w:t xml:space="preserve">    </w:t>
    </w:r>
    <w:r>
      <w:rPr>
        <w:rFonts w:hint="eastAsia"/>
        <w:sz w:val="18"/>
      </w:rPr>
      <w:t>电话：</w:t>
    </w:r>
    <w:r>
      <w:rPr>
        <w:sz w:val="18"/>
      </w:rPr>
      <w:t xml:space="preserve">0731-83929310     </w:t>
    </w:r>
    <w:r>
      <w:rPr>
        <w:sz w:val="18"/>
        <w:u w:val="single"/>
      </w:rPr>
      <w:t xml:space="preserve"> E-mail: kybgcp@163.com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Fonts w:hint="eastAsia"/>
      </w:rPr>
      <w:t>湖南省人民医院药物临床试验机构办公室</w:t>
    </w:r>
    <w:r>
      <w:t xml:space="preserve">                                                </w:t>
    </w:r>
    <w:r>
      <w:rPr>
        <w:rFonts w:hint="eastAsia"/>
        <w:lang w:val="en-US" w:eastAsia="zh-CN"/>
      </w:rPr>
      <w:t>2020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55D9"/>
    <w:multiLevelType w:val="singleLevel"/>
    <w:tmpl w:val="59AF55D9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AF5959"/>
    <w:multiLevelType w:val="singleLevel"/>
    <w:tmpl w:val="59AF5959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9403354"/>
    <w:rsid w:val="00430F3C"/>
    <w:rsid w:val="00617F4E"/>
    <w:rsid w:val="006A536C"/>
    <w:rsid w:val="00770940"/>
    <w:rsid w:val="0080035B"/>
    <w:rsid w:val="00842EA2"/>
    <w:rsid w:val="00A10C96"/>
    <w:rsid w:val="169873ED"/>
    <w:rsid w:val="1FF854B9"/>
    <w:rsid w:val="2AFE6AD0"/>
    <w:rsid w:val="2B4823FC"/>
    <w:rsid w:val="3014608A"/>
    <w:rsid w:val="39403354"/>
    <w:rsid w:val="3CB54B83"/>
    <w:rsid w:val="3EE05923"/>
    <w:rsid w:val="41A30A40"/>
    <w:rsid w:val="587C40A7"/>
    <w:rsid w:val="5B5B5DEE"/>
    <w:rsid w:val="6D7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Header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82</Words>
  <Characters>470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2017-09-06T01:48:00Z</dcterms:created>
  <dc:creator>Administrator</dc:creator>
  <cp:lastModifiedBy>邵雅琴</cp:lastModifiedBy>
  <dcterms:modified xsi:type="dcterms:W3CDTF">2020-06-01T00:59:22Z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