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2711" w:firstLineChars="900"/>
        <w:rPr>
          <w:rStyle w:val="6"/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PI工作交接报告</w:t>
      </w:r>
    </w:p>
    <w:p>
      <w:pPr>
        <w:spacing w:line="440" w:lineRule="exact"/>
        <w:ind w:firstLine="480" w:firstLineChars="200"/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auto"/>
          <w:sz w:val="24"/>
          <w:lang w:val="en-US" w:eastAsia="zh-CN"/>
        </w:rPr>
        <w:t>各项目PI更换交接时至少按照以下几点要求完成交接工作（须把交接具体内容补充完整）。具体信息请补充完整后存放研究者文件夹。</w:t>
      </w: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项目名称：</w:t>
            </w:r>
          </w:p>
        </w:tc>
        <w:tc>
          <w:tcPr>
            <w:tcW w:w="6392" w:type="dxa"/>
            <w:gridSpan w:val="4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承担专业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申办方</w:t>
            </w:r>
          </w:p>
        </w:tc>
        <w:tc>
          <w:tcPr>
            <w:tcW w:w="2132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原PI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新PI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spacing w:line="4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numPr>
          <w:ilvl w:val="0"/>
          <w:numId w:val="0"/>
        </w:numPr>
        <w:spacing w:line="460" w:lineRule="exac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项目基本情况交接：</w:t>
      </w:r>
    </w:p>
    <w:p>
      <w:pPr>
        <w:numPr>
          <w:ilvl w:val="0"/>
          <w:numId w:val="1"/>
        </w:numPr>
        <w:spacing w:line="4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项目进展情况简述：目前入选具体情况——筛选/入组/完成/脱落人数（如筛选失败及提前中止交接者应明确了解相关情况）；</w:t>
      </w:r>
    </w:p>
    <w:p>
      <w:pPr>
        <w:pStyle w:val="7"/>
        <w:spacing w:line="460" w:lineRule="exact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2.受试者访视进展情况，病历、CRF填写交接情况（交接者应明确了解随访进展状况）；</w:t>
      </w:r>
    </w:p>
    <w:p>
      <w:pPr>
        <w:pStyle w:val="7"/>
        <w:spacing w:line="460" w:lineRule="exact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3.本中心研究人员、授权及变更情况——科室，机构，伦理，药物管理员，CRC等（可附表联系方式说明已交接）；</w:t>
      </w:r>
    </w:p>
    <w:p>
      <w:pPr>
        <w:pStyle w:val="7"/>
        <w:spacing w:line="460" w:lineRule="exact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4.SAE及AE情况（尚在跟踪的必须详细交接）；</w:t>
      </w:r>
    </w:p>
    <w:p>
      <w:pPr>
        <w:pStyle w:val="7"/>
        <w:spacing w:line="460" w:lineRule="exact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5.所有伦理审查批复时间及结论情况交接（含上会、快审及备案）；</w:t>
      </w:r>
    </w:p>
    <w:p>
      <w:pPr>
        <w:spacing w:line="4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6.重要的方案违背及上报伦理情况（机构首例检查反馈及整改情况必须交接）；</w:t>
      </w:r>
    </w:p>
    <w:p>
      <w:pPr>
        <w:spacing w:line="4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7.项目检查费使用情况核对（请列表）：入组病例（每个入组病例单列）实际产生的检查费、是否有套用医保结算的情况等。</w:t>
      </w:r>
    </w:p>
    <w:p>
      <w:pPr>
        <w:spacing w:line="46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spacing w:line="46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spacing w:line="46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spacing w:line="46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spacing w:line="46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spacing w:line="4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申办方签名/日期：</w:t>
      </w:r>
    </w:p>
    <w:p>
      <w:pPr>
        <w:spacing w:line="4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原PI签名/日期：</w:t>
      </w:r>
    </w:p>
    <w:p>
      <w:pPr>
        <w:spacing w:line="4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新PI签名/日期：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湖南省人民医院(湖南师范大学附属第一医院)GCP办公室                                    2024版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F5959"/>
    <w:multiLevelType w:val="singleLevel"/>
    <w:tmpl w:val="59AF5959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32BD2A4B"/>
    <w:rsid w:val="0C4329A0"/>
    <w:rsid w:val="32BD2A4B"/>
    <w:rsid w:val="639B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paper1"/>
    <w:basedOn w:val="5"/>
    <w:autoRedefine/>
    <w:qFormat/>
    <w:uiPriority w:val="0"/>
  </w:style>
  <w:style w:type="paragraph" w:customStyle="1" w:styleId="7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2024-04-24T07:21:00Z</dcterms:created>
  <dc:creator>邵雅琴</dc:creator>
  <cp:lastModifiedBy>邵雅琴</cp:lastModifiedBy>
  <dcterms:modified xsi:type="dcterms:W3CDTF">2024-04-24T07:26:12Z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5EEF15ADEF6A40DA8D04B2AB716987B8_11</vt:lpwstr>
  </property>
</Properties>
</file>